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A" w:rsidRDefault="00726A1A" w:rsidP="00726A1A">
      <w:pPr>
        <w:ind w:left="-180"/>
        <w:rPr>
          <w:b/>
        </w:rPr>
      </w:pPr>
      <w:r>
        <w:rPr>
          <w:b/>
        </w:rPr>
        <w:t>Temat: Kultura i życie codzienne we wczesnym średniowieczu.</w:t>
      </w:r>
    </w:p>
    <w:p w:rsidR="00726A1A" w:rsidRDefault="00726A1A" w:rsidP="00726A1A">
      <w:pPr>
        <w:numPr>
          <w:ilvl w:val="0"/>
          <w:numId w:val="2"/>
        </w:numPr>
        <w:rPr>
          <w:b/>
        </w:rPr>
      </w:pPr>
      <w:r>
        <w:rPr>
          <w:b/>
        </w:rPr>
        <w:t xml:space="preserve">Dziedzictwo antyku. </w:t>
      </w:r>
    </w:p>
    <w:p w:rsidR="00726A1A" w:rsidRDefault="00726A1A" w:rsidP="00726A1A">
      <w:pPr>
        <w:ind w:left="-180" w:firstLine="360"/>
        <w:jc w:val="both"/>
      </w:pPr>
      <w:r>
        <w:t>Mimo rozłamu str</w:t>
      </w:r>
      <w:bookmarkStart w:id="0" w:name="_GoBack"/>
      <w:bookmarkEnd w:id="0"/>
      <w:r>
        <w:t xml:space="preserve">uktur państwowych po upadku Rzymu kultura grecko-rzymska przetrwała. Okres pomiędzy </w:t>
      </w:r>
      <w:smartTag w:uri="urn:schemas-microsoft-com:office:smarttags" w:element="metricconverter">
        <w:smartTagPr>
          <w:attr w:name="ProductID" w:val="476 a"/>
        </w:smartTagPr>
        <w:r>
          <w:t>476 a</w:t>
        </w:r>
      </w:smartTag>
      <w:r>
        <w:t xml:space="preserve"> 800 r. dawniej nazywano wiekami ciemnymi. Dziś wiemy, że było to określenie błędne, bo kultura antyku uległa metamorfozie i pojawiła się nowa jedność kulturowa Europy. Nośnikiem jej były dwie instytucje: cesarstwo bizantyjskie i Kościół rzymski. To były pomosty kulturowe pomiędzy antykiem a średniowieczem. </w:t>
      </w:r>
    </w:p>
    <w:p w:rsidR="00726A1A" w:rsidRDefault="00726A1A" w:rsidP="00726A1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Kultura wczesnego średniowiecza w Europie.</w:t>
      </w:r>
    </w:p>
    <w:p w:rsidR="00726A1A" w:rsidRDefault="00726A1A" w:rsidP="00726A1A">
      <w:pPr>
        <w:ind w:left="-180" w:firstLine="360"/>
        <w:jc w:val="both"/>
      </w:pPr>
      <w:r>
        <w:t xml:space="preserve">W Europie nastąpił zanik miast, zostały tylko kościoły. Panowała powszechna </w:t>
      </w:r>
      <w:proofErr w:type="spellStart"/>
      <w:r w:rsidRPr="00171D56">
        <w:rPr>
          <w:highlight w:val="green"/>
        </w:rPr>
        <w:t>analfabetyzacja</w:t>
      </w:r>
      <w:proofErr w:type="spellEnd"/>
      <w:r w:rsidRPr="00171D56">
        <w:rPr>
          <w:highlight w:val="green"/>
        </w:rPr>
        <w:t>.</w:t>
      </w:r>
      <w:r>
        <w:t xml:space="preserve"> Kulturę średniowieczna cechował </w:t>
      </w:r>
      <w:r w:rsidRPr="008552B5">
        <w:rPr>
          <w:highlight w:val="green"/>
        </w:rPr>
        <w:t>uniwersalizm</w:t>
      </w:r>
      <w:r>
        <w:t xml:space="preserve"> oraz </w:t>
      </w:r>
      <w:r w:rsidRPr="008552B5">
        <w:rPr>
          <w:highlight w:val="green"/>
        </w:rPr>
        <w:t>elitarność</w:t>
      </w:r>
      <w:r>
        <w:t xml:space="preserve">. Pamięć antyku pozostała tylko wśród duchownych. Przyjął ją np. św. Augustyn, który uważał, nie  warto odrzucać czegoś, co jest pożyteczne. Nastąpiła asymilacja, np. Panteon stał się w VII w. kościołem. Kompromis zapewniał ciągłość kultury i tradycji. Kultura antyku została zubożona, co ułatwiło adaptację. </w:t>
      </w:r>
    </w:p>
    <w:p w:rsidR="00726A1A" w:rsidRDefault="00726A1A" w:rsidP="00726A1A">
      <w:pPr>
        <w:ind w:left="-180" w:firstLine="360"/>
        <w:jc w:val="both"/>
      </w:pPr>
      <w:r>
        <w:t xml:space="preserve">Kultura dzieliła się na </w:t>
      </w:r>
      <w:r w:rsidRPr="0092306F">
        <w:rPr>
          <w:highlight w:val="green"/>
        </w:rPr>
        <w:t>uczoną</w:t>
      </w:r>
      <w:r>
        <w:t xml:space="preserve"> (łaciną) i </w:t>
      </w:r>
      <w:r w:rsidRPr="0092306F">
        <w:rPr>
          <w:highlight w:val="green"/>
        </w:rPr>
        <w:t>ludową</w:t>
      </w:r>
      <w:r>
        <w:t xml:space="preserve"> (lokalne języki). Spoiwem obu kultur było chrześcijaństwo. Przekaźnikiem kulturowym były klasztory. Dzięki cystersom poznano techniki rolne, benedyktyńscy kopiści w skryptoriach przepisywali starożytne dzieła. </w:t>
      </w:r>
    </w:p>
    <w:p w:rsidR="00726A1A" w:rsidRDefault="00726A1A" w:rsidP="00726A1A">
      <w:pPr>
        <w:ind w:left="-180" w:firstLine="360"/>
        <w:jc w:val="both"/>
      </w:pPr>
      <w:r>
        <w:t xml:space="preserve">Upowszechnił się system nauczania, którego podstawą było </w:t>
      </w:r>
      <w:r w:rsidRPr="009830C2">
        <w:rPr>
          <w:highlight w:val="green"/>
        </w:rPr>
        <w:t>siedem sztuk wyzwolonych</w:t>
      </w:r>
      <w:r>
        <w:t xml:space="preserve"> (umiejętności godnych człowieka wolnego). Dzieliło się na </w:t>
      </w:r>
      <w:r w:rsidRPr="009830C2">
        <w:rPr>
          <w:highlight w:val="green"/>
        </w:rPr>
        <w:t>trivium</w:t>
      </w:r>
      <w:r>
        <w:t xml:space="preserve"> (gramatyka łacińska, retoryka, dialektyka) i </w:t>
      </w:r>
      <w:r w:rsidRPr="009830C2">
        <w:rPr>
          <w:highlight w:val="green"/>
        </w:rPr>
        <w:t>quadrivium</w:t>
      </w:r>
      <w:r>
        <w:t xml:space="preserve"> (geometria, arytmetyka, astronomia i muzyka). </w:t>
      </w:r>
    </w:p>
    <w:p w:rsidR="00726A1A" w:rsidRDefault="00726A1A" w:rsidP="00726A1A">
      <w:pPr>
        <w:ind w:left="-180" w:firstLine="360"/>
        <w:jc w:val="both"/>
      </w:pPr>
      <w:r>
        <w:t xml:space="preserve">Dużą rolę odgrywał </w:t>
      </w:r>
      <w:r w:rsidRPr="0092306F">
        <w:rPr>
          <w:highlight w:val="green"/>
        </w:rPr>
        <w:t>synkretyzm religijny</w:t>
      </w:r>
      <w:r>
        <w:t xml:space="preserve">, czyli łączenie w całość różnych światopoglądów, wierzeń, np. kult bohaterów równał się kultowi świętych. </w:t>
      </w:r>
    </w:p>
    <w:p w:rsidR="00726A1A" w:rsidRDefault="00726A1A" w:rsidP="00726A1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Cechy średniowiecznej kultury.</w:t>
      </w:r>
    </w:p>
    <w:p w:rsidR="00726A1A" w:rsidRDefault="00726A1A" w:rsidP="00726A1A">
      <w:pPr>
        <w:ind w:left="-180" w:firstLine="88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217170</wp:posOffset>
            </wp:positionV>
            <wp:extent cx="1525905" cy="217170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445770</wp:posOffset>
            </wp:positionV>
            <wp:extent cx="1591945" cy="1943100"/>
            <wp:effectExtent l="0" t="0" r="8255" b="0"/>
            <wp:wrapSquare wrapText="bothSides"/>
            <wp:docPr id="20" name="Obraz 20" descr="http://t3.gstatic.com/images?q=tbn:ANd9GcQlPFKWESSDXpJze1AN5Ia0iMWWsIEkjqhhnZm4UIDI23DpQOo2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lPFKWESSDXpJze1AN5Ia0iMWWsIEkjqhhnZm4UIDI23DpQOo28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 średniowieczu nauka, sztuka i literatura odgrywała rolę służebna wobec religii. Dlatego dominowała w niej tematyka religijna. Ludzie nie potrafili czytać, więc olbrzymią rolę ogrywały obrazy, rzeźby i słowo mówione. Kościół zachodni przyjął przedstawienia figuralne w sztuce, papież Grzegorz Wielki w VI w. uznał, że obrazy powinny się znajdować w kościołach. Tak narodziła się koncepcja </w:t>
      </w:r>
      <w:r w:rsidRPr="00997DE0">
        <w:rPr>
          <w:highlight w:val="green"/>
        </w:rPr>
        <w:t xml:space="preserve">Biblii </w:t>
      </w:r>
      <w:proofErr w:type="spellStart"/>
      <w:r w:rsidRPr="00997DE0">
        <w:rPr>
          <w:highlight w:val="green"/>
        </w:rPr>
        <w:t>pauperum</w:t>
      </w:r>
      <w:proofErr w:type="spellEnd"/>
      <w:r>
        <w:t xml:space="preserve"> (ubogich). To za pośrednictwem obrazów i rzeźb uczono wiernych treści biblijnych. Wartość estetyczna odgrywała mniejsze znaczenie. </w:t>
      </w:r>
    </w:p>
    <w:p w:rsidR="00726A1A" w:rsidRDefault="00726A1A" w:rsidP="00726A1A">
      <w:pPr>
        <w:ind w:left="-180"/>
        <w:jc w:val="both"/>
      </w:pPr>
      <w:r>
        <w:t xml:space="preserve">Słowo mówione dominowało nad pisanym, dlatego dużą rolę odgrywały kazania. Część kazań stanowiły </w:t>
      </w:r>
      <w:proofErr w:type="spellStart"/>
      <w:r w:rsidRPr="00997DE0">
        <w:rPr>
          <w:highlight w:val="green"/>
        </w:rPr>
        <w:t>exempla</w:t>
      </w:r>
      <w:proofErr w:type="spellEnd"/>
      <w:r>
        <w:t>, czyli krótkie, umoralniające opowieści.</w:t>
      </w:r>
    </w:p>
    <w:p w:rsidR="00726A1A" w:rsidRDefault="00726A1A" w:rsidP="00726A1A">
      <w:pPr>
        <w:tabs>
          <w:tab w:val="left" w:pos="2520"/>
          <w:tab w:val="left" w:pos="2880"/>
          <w:tab w:val="left" w:pos="3060"/>
          <w:tab w:val="left" w:pos="3240"/>
          <w:tab w:val="left" w:pos="3420"/>
        </w:tabs>
        <w:jc w:val="both"/>
      </w:pPr>
      <w:r>
        <w:t xml:space="preserve">Czerpane były z Biblii, baśni ludowych.    </w:t>
      </w:r>
    </w:p>
    <w:p w:rsidR="00726A1A" w:rsidRDefault="00726A1A" w:rsidP="00726A1A">
      <w:pPr>
        <w:tabs>
          <w:tab w:val="left" w:pos="2520"/>
          <w:tab w:val="left" w:pos="2880"/>
          <w:tab w:val="left" w:pos="3060"/>
          <w:tab w:val="left" w:pos="3240"/>
          <w:tab w:val="left" w:pos="3420"/>
        </w:tabs>
        <w:jc w:val="both"/>
      </w:pPr>
      <w:r w:rsidRPr="00EB65C5">
        <w:t xml:space="preserve">Chrystus </w:t>
      </w:r>
      <w:proofErr w:type="spellStart"/>
      <w:r w:rsidRPr="00EB65C5">
        <w:rPr>
          <w:highlight w:val="green"/>
        </w:rPr>
        <w:t>Pan</w:t>
      </w:r>
      <w:r>
        <w:rPr>
          <w:highlight w:val="green"/>
        </w:rPr>
        <w:t>to</w:t>
      </w:r>
      <w:r w:rsidRPr="00EB65C5">
        <w:rPr>
          <w:highlight w:val="green"/>
        </w:rPr>
        <w:t>krator</w:t>
      </w:r>
      <w:proofErr w:type="spellEnd"/>
      <w:r w:rsidRPr="00EB65C5">
        <w:t xml:space="preserve"> Wszechwładca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Kuszenie Ewy</w:t>
      </w:r>
    </w:p>
    <w:p w:rsidR="00726A1A" w:rsidRDefault="00726A1A" w:rsidP="00726A1A">
      <w:pPr>
        <w:tabs>
          <w:tab w:val="left" w:pos="2520"/>
          <w:tab w:val="left" w:pos="2880"/>
          <w:tab w:val="left" w:pos="3060"/>
          <w:tab w:val="left" w:pos="3240"/>
          <w:tab w:val="left" w:pos="3420"/>
        </w:tabs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49530</wp:posOffset>
            </wp:positionV>
            <wp:extent cx="1628140" cy="2425700"/>
            <wp:effectExtent l="0" t="0" r="0" b="0"/>
            <wp:wrapSquare wrapText="bothSides"/>
            <wp:docPr id="19" name="Obraz 19" descr="Plik:St. Mary Church in Inowroc&amp;lstrok;aw - 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ik:St. Mary Church in Inowroc&amp;lstrok;aw - mask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ind w:left="-180" w:firstLine="88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788670</wp:posOffset>
            </wp:positionV>
            <wp:extent cx="988695" cy="1447800"/>
            <wp:effectExtent l="0" t="0" r="1905" b="0"/>
            <wp:wrapSquare wrapText="bothSides"/>
            <wp:docPr id="18" name="Obraz 18" descr="http://upload.wikimedia.org/wikipedia/commons/thumb/6/6b/POL_Gniezno_COA.svg/200px-POL_Gnie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b/POL_Gniezno_COA.svg/200px-POL_Gniezno_COA.svg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Duże znaczenie miały symbole i rytuały </w:t>
      </w:r>
      <w:r w:rsidRPr="00E47988">
        <w:rPr>
          <w:highlight w:val="yellow"/>
        </w:rPr>
        <w:t>(Dlaczego?)</w:t>
      </w:r>
      <w:r>
        <w:t xml:space="preserve"> Ludzie nie potrafili pisać, dlatego sztuka przekazywała treści symboliczne. Zniekształcano naturę w celu uwypuklenia treści przenośnych. Przedmioty, rośliny miały znaczenie symboliczne.  Po określonych atrybutach można było rozpoznać świętych. Dopiero w XIII w. sztuka gotycka kładła większy nacisk na naśladowanie natury. Dla ludzie niepiśmiennych duże znaczenie odgrywały rytuały i ceremonie. Uroczysta przysięga  w czasie hołdu lennego zastępowała podpis. Koronacje, śluby, uroczyste </w:t>
      </w:r>
      <w:r>
        <w:lastRenderedPageBreak/>
        <w:t xml:space="preserve">wjazdy władcy do miasta stanowiły manifestację władzy. Uroczyste msze pozwalały wiernym obcować ze sztuką. </w:t>
      </w:r>
    </w:p>
    <w:p w:rsidR="00726A1A" w:rsidRDefault="00726A1A" w:rsidP="00726A1A">
      <w:pPr>
        <w:ind w:left="-180" w:firstLine="888"/>
        <w:jc w:val="both"/>
      </w:pPr>
      <w:r>
        <w:t xml:space="preserve">Herby rodów rycerskich (szlacheckich) i miast wzmacniały samoświadomość szlachty. Pieczęć z zarysem murów, czy ratusza obrazowała autonomię danego miasta. </w:t>
      </w:r>
    </w:p>
    <w:p w:rsidR="00726A1A" w:rsidRDefault="00726A1A" w:rsidP="00726A1A">
      <w:pPr>
        <w:ind w:left="-180" w:firstLine="888"/>
        <w:jc w:val="both"/>
      </w:pPr>
    </w:p>
    <w:p w:rsidR="00726A1A" w:rsidRDefault="00726A1A" w:rsidP="00726A1A">
      <w:pPr>
        <w:ind w:left="-180"/>
        <w:jc w:val="both"/>
      </w:pPr>
      <w:r>
        <w:t>Głowy demonów na ścianie kościoła w Inowrocławiu (przykład synkretyzmu)</w:t>
      </w:r>
      <w:r>
        <w:tab/>
      </w:r>
      <w:r>
        <w:tab/>
        <w:t>Herb Gniezna</w:t>
      </w:r>
    </w:p>
    <w:p w:rsidR="00726A1A" w:rsidRDefault="00726A1A" w:rsidP="00726A1A">
      <w:pPr>
        <w:jc w:val="both"/>
      </w:pPr>
      <w:r>
        <w:tab/>
      </w:r>
    </w:p>
    <w:p w:rsidR="00726A1A" w:rsidRDefault="00726A1A" w:rsidP="00726A1A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79375</wp:posOffset>
            </wp:positionV>
            <wp:extent cx="1485900" cy="1943100"/>
            <wp:effectExtent l="0" t="0" r="0" b="0"/>
            <wp:wrapSquare wrapText="bothSides"/>
            <wp:docPr id="17" name="Obraz 17" descr="http://upload.wikimedia.org/wikipedia/commons/thumb/f/fa/Golden_Madonna.jpg/200px-Golden_M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a/Golden_Madonna.jpg/200px-Golden_Madonn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A1A" w:rsidRDefault="00726A1A" w:rsidP="00726A1A">
      <w:pPr>
        <w:ind w:firstLine="708"/>
        <w:jc w:val="both"/>
      </w:pPr>
      <w:r>
        <w:t xml:space="preserve">W sztuce romańskiej występuje przede wszystkim typ Madonny tronującej, ale także często malowano sceny oparte na </w:t>
      </w:r>
      <w:r>
        <w:rPr>
          <w:rStyle w:val="Uwydatnienie"/>
        </w:rPr>
        <w:t>Ewangeliach</w:t>
      </w:r>
      <w:r>
        <w:t>, przedstawiające np. Narodziny Marii, Zwiastowanie – tzw. cykle Maryjne.</w:t>
      </w:r>
      <w:r>
        <w:br/>
      </w:r>
    </w:p>
    <w:p w:rsidR="00726A1A" w:rsidRDefault="00726A1A" w:rsidP="00726A1A">
      <w:pPr>
        <w:ind w:firstLine="708"/>
        <w:jc w:val="both"/>
      </w:pPr>
      <w:r>
        <w:t xml:space="preserve">Złota Madonna z Essen (rzeźba pomalowana złotem, X w.) jest swego rodzaju figuralnie ukształtowanym </w:t>
      </w:r>
      <w:r w:rsidRPr="005C581B">
        <w:t>relikwiarzem</w:t>
      </w:r>
      <w:r>
        <w:t xml:space="preserve">. Od strony treściowej Madonna została ukazana jako </w:t>
      </w:r>
      <w:r>
        <w:rPr>
          <w:i/>
          <w:iCs/>
        </w:rPr>
        <w:t xml:space="preserve">Nova </w:t>
      </w:r>
      <w:proofErr w:type="spellStart"/>
      <w:r>
        <w:rPr>
          <w:i/>
          <w:iCs/>
        </w:rPr>
        <w:t>Eva</w:t>
      </w:r>
      <w:proofErr w:type="spellEnd"/>
      <w:r>
        <w:t xml:space="preserve">, o czym świadczy jabłko, które trzyma w prawej dłoni, ponadto kieruje ten owoc w stronę Dzieciątka. Ukazany został zbawczy aspekt Chrystusa i Marii i zapowiedź zwycięstwa człowieka nad grzechem. Jabłko, które jest </w:t>
      </w:r>
      <w:r w:rsidRPr="005C581B">
        <w:t>starotestamentowym</w:t>
      </w:r>
      <w:r>
        <w:t xml:space="preserve"> owocem grzechu, w przypadku dzieła z Essen symbolizuje zbawienie.</w:t>
      </w:r>
    </w:p>
    <w:p w:rsidR="00726A1A" w:rsidRDefault="00726A1A" w:rsidP="00726A1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Architektura romańska (</w:t>
      </w:r>
      <w:r w:rsidRPr="007F42E9">
        <w:rPr>
          <w:b/>
          <w:highlight w:val="red"/>
        </w:rPr>
        <w:t>X-XIII w.)</w:t>
      </w:r>
      <w:r>
        <w:rPr>
          <w:b/>
        </w:rPr>
        <w:t xml:space="preserve"> – </w:t>
      </w:r>
      <w:r>
        <w:t>strona 408.</w:t>
      </w:r>
    </w:p>
    <w:p w:rsidR="00726A1A" w:rsidRPr="005736CB" w:rsidRDefault="00726A1A" w:rsidP="00726A1A">
      <w:pPr>
        <w:ind w:left="-18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86995</wp:posOffset>
            </wp:positionV>
            <wp:extent cx="1263015" cy="1600200"/>
            <wp:effectExtent l="0" t="0" r="0" b="0"/>
            <wp:wrapSquare wrapText="bothSides"/>
            <wp:docPr id="16" name="Obraz 16" descr="Rotunda &amp;sacute;w. Miko&amp;lstrok;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unda &amp;sacute;w. Miko&amp;lstrok;aj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26035</wp:posOffset>
            </wp:positionV>
            <wp:extent cx="1714500" cy="1494790"/>
            <wp:effectExtent l="0" t="0" r="0" b="0"/>
            <wp:wrapSquare wrapText="bothSides"/>
            <wp:docPr id="15" name="Obraz 15" descr="http://zasoby.open.agh.edu.pl/%7E08tszymanski/images/pictures/k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soby.open.agh.edu.pl/%7E08tszymanski/images/pictures/kr_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26035</wp:posOffset>
            </wp:positionV>
            <wp:extent cx="2171700" cy="1445260"/>
            <wp:effectExtent l="0" t="0" r="0" b="2540"/>
            <wp:wrapSquare wrapText="bothSides"/>
            <wp:docPr id="14" name="Obraz 14" descr="http://t3.gstatic.com/images?q=tbn:ANd9GcQ9an6BwPTj_uCRqcW81GEbJvPszTXrfb1M7r6dhGCsrCOumg2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9an6BwPTj_uCRqcW81GEbJvPszTXrfb1M7r6dhGCsrCOumg2UNA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ind w:left="2124" w:firstLine="708"/>
        <w:jc w:val="both"/>
      </w:pPr>
      <w:r>
        <w:t>Kolegiata św. Piotra i Pawła w Kruszwicy</w:t>
      </w:r>
      <w:r>
        <w:tab/>
      </w:r>
      <w:r>
        <w:tab/>
        <w:t xml:space="preserve">        Rotunda św. </w:t>
      </w:r>
    </w:p>
    <w:p w:rsidR="00726A1A" w:rsidRDefault="00726A1A" w:rsidP="00726A1A">
      <w:pPr>
        <w:ind w:left="7080" w:firstLine="708"/>
        <w:jc w:val="both"/>
      </w:pPr>
      <w:r>
        <w:t>Mikołaja w Cieszynie</w:t>
      </w: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17145</wp:posOffset>
            </wp:positionV>
            <wp:extent cx="2219325" cy="2105025"/>
            <wp:effectExtent l="0" t="0" r="9525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131445</wp:posOffset>
            </wp:positionV>
            <wp:extent cx="1943100" cy="1878330"/>
            <wp:effectExtent l="0" t="0" r="0" b="7620"/>
            <wp:wrapSquare wrapText="bothSides"/>
            <wp:docPr id="12" name="Obraz 12" descr="http://upload.wikimedia.org/wikipedia/commons/thumb/9/9a/Portal_moissac.jpg/120px-Portal_mois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9/9a/Portal_moissac.jpg/120px-Portal_moissac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pStyle w:val="NormalnyWeb"/>
        <w:spacing w:before="0" w:beforeAutospacing="0" w:after="0" w:afterAutospacing="0"/>
        <w:rPr>
          <w:bCs/>
        </w:rPr>
      </w:pPr>
    </w:p>
    <w:p w:rsidR="00726A1A" w:rsidRPr="005736CB" w:rsidRDefault="00726A1A" w:rsidP="00726A1A">
      <w:pPr>
        <w:pStyle w:val="NormalnyWeb"/>
        <w:spacing w:before="0" w:beforeAutospacing="0" w:after="0" w:afterAutospacing="0"/>
        <w:ind w:left="1920" w:hanging="1740"/>
      </w:pPr>
      <w:r w:rsidRPr="00321AA3">
        <w:rPr>
          <w:bCs/>
          <w:highlight w:val="green"/>
        </w:rPr>
        <w:t>Cechy stylu romańskiego (nazwa stylu powstała w XIX w.)</w:t>
      </w:r>
    </w:p>
    <w:p w:rsidR="00726A1A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grube mury</w:t>
      </w:r>
      <w:r>
        <w:t xml:space="preserve">, </w:t>
      </w:r>
      <w:r w:rsidRPr="005736CB">
        <w:t>wrażenie przysadzistej</w:t>
      </w:r>
      <w:r>
        <w:t>, masywnej</w:t>
      </w:r>
      <w:r w:rsidRPr="005736CB">
        <w:t xml:space="preserve"> budowli</w:t>
      </w:r>
    </w:p>
    <w:p w:rsidR="00726A1A" w:rsidRPr="005736CB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>
        <w:t>budulcem był ciosany kamień łączony zaprawą wapienną</w:t>
      </w:r>
    </w:p>
    <w:p w:rsidR="00726A1A" w:rsidRPr="005736CB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małe okna</w:t>
      </w:r>
      <w:r>
        <w:t>, bez szyb (czasem pęcherz zwierząt), biforium, triforium</w:t>
      </w:r>
    </w:p>
    <w:p w:rsidR="00726A1A" w:rsidRPr="005736CB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sklepienia kolebkowe i krzyżowe</w:t>
      </w:r>
    </w:p>
    <w:p w:rsidR="00726A1A" w:rsidRPr="005736CB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prostota, surowość, mało dekoracji</w:t>
      </w:r>
      <w:r>
        <w:t>, prawie brak detali</w:t>
      </w:r>
    </w:p>
    <w:p w:rsidR="00726A1A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proporcjonalność</w:t>
      </w:r>
    </w:p>
    <w:p w:rsidR="00726A1A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>
        <w:rPr>
          <w:bCs/>
        </w:rPr>
        <w:t>czasami</w:t>
      </w:r>
      <w:r>
        <w:t xml:space="preserve"> budowla w układzie </w:t>
      </w:r>
      <w:r w:rsidRPr="00321AA3">
        <w:t>centralnym</w:t>
      </w:r>
      <w:r>
        <w:t xml:space="preserve">, wzniesiona na planie </w:t>
      </w:r>
      <w:r w:rsidRPr="00321AA3">
        <w:t>koła</w:t>
      </w:r>
      <w:r>
        <w:t xml:space="preserve"> (</w:t>
      </w:r>
      <w:r w:rsidRPr="00321AA3">
        <w:rPr>
          <w:highlight w:val="green"/>
        </w:rPr>
        <w:t>rotunda)</w:t>
      </w:r>
      <w:r>
        <w:t>. Składa się z</w:t>
      </w:r>
    </w:p>
    <w:p w:rsidR="00726A1A" w:rsidRDefault="00726A1A" w:rsidP="00726A1A">
      <w:pPr>
        <w:pStyle w:val="NormalnyWeb"/>
        <w:spacing w:before="0" w:beforeAutospacing="0" w:after="0" w:afterAutospacing="0"/>
        <w:ind w:right="960"/>
      </w:pPr>
      <w:r>
        <w:t>  </w:t>
      </w:r>
      <w:r>
        <w:tab/>
        <w:t xml:space="preserve">jednego pomieszczenia przykrytego często </w:t>
      </w:r>
      <w:r w:rsidRPr="00321AA3">
        <w:t>kopułą</w:t>
      </w:r>
      <w:r>
        <w:t>, czasem z dobudowanymi ab</w:t>
      </w:r>
      <w:r w:rsidRPr="00321AA3">
        <w:t>sydami</w:t>
      </w:r>
    </w:p>
    <w:p w:rsidR="00726A1A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321AA3">
        <w:rPr>
          <w:highlight w:val="green"/>
        </w:rPr>
        <w:t>absydy</w:t>
      </w:r>
      <w:r>
        <w:t xml:space="preserve"> – pomieszczenia na planie półkola lub wieloboku, dostawiano je do nawy głównej,</w:t>
      </w:r>
    </w:p>
    <w:p w:rsidR="00726A1A" w:rsidRDefault="00726A1A" w:rsidP="00726A1A">
      <w:pPr>
        <w:pStyle w:val="NormalnyWeb"/>
        <w:spacing w:before="0" w:beforeAutospacing="0" w:after="0" w:afterAutospacing="0"/>
        <w:ind w:left="180" w:right="960" w:firstLine="528"/>
      </w:pPr>
      <w:r>
        <w:t>często zamykały prezbiterium.</w:t>
      </w:r>
    </w:p>
    <w:p w:rsidR="00726A1A" w:rsidRPr="005736CB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>
        <w:t>wieże nie były znacząco wyższe od kościoła</w:t>
      </w:r>
    </w:p>
    <w:p w:rsidR="00726A1A" w:rsidRDefault="00726A1A" w:rsidP="00726A1A">
      <w:pPr>
        <w:pStyle w:val="NormalnyWeb"/>
        <w:numPr>
          <w:ilvl w:val="0"/>
          <w:numId w:val="3"/>
        </w:numPr>
        <w:spacing w:before="0" w:beforeAutospacing="0" w:after="0" w:afterAutospacing="0"/>
        <w:ind w:left="2640" w:right="960" w:hanging="2460"/>
      </w:pPr>
      <w:r w:rsidRPr="005736CB">
        <w:t>portal symbolizuje drogę ku wieczności</w:t>
      </w:r>
      <w:r>
        <w:t>, portal tworzył szereg kolumn ustawionych po</w:t>
      </w:r>
    </w:p>
    <w:p w:rsidR="00726A1A" w:rsidRDefault="00726A1A" w:rsidP="00726A1A">
      <w:pPr>
        <w:pStyle w:val="NormalnyWeb"/>
        <w:spacing w:before="0" w:beforeAutospacing="0" w:after="0" w:afterAutospacing="0"/>
        <w:ind w:left="708" w:right="960"/>
      </w:pPr>
      <w:r>
        <w:t>obu stronach drzwi, cofających się w głąb ściany, połączonych u góry arkadami zamykającymi całość. Nad wejściem umieszczano tympanon, dekorowany płaskorzeźbami</w:t>
      </w:r>
    </w:p>
    <w:p w:rsidR="00726A1A" w:rsidRDefault="00726A1A" w:rsidP="00726A1A">
      <w:pPr>
        <w:jc w:val="center"/>
        <w:rPr>
          <w:b/>
        </w:rPr>
      </w:pPr>
      <w:r>
        <w:rPr>
          <w:b/>
        </w:rPr>
        <w:t>Lekcja 58.</w:t>
      </w:r>
    </w:p>
    <w:p w:rsidR="00726A1A" w:rsidRPr="000866E1" w:rsidRDefault="00726A1A" w:rsidP="00726A1A">
      <w:pPr>
        <w:rPr>
          <w:b/>
        </w:rPr>
      </w:pPr>
      <w:r>
        <w:rPr>
          <w:b/>
        </w:rPr>
        <w:t xml:space="preserve">Temat: Kultura i sztuka pełnego średniowiecza. </w:t>
      </w:r>
    </w:p>
    <w:p w:rsidR="00726A1A" w:rsidRDefault="00726A1A" w:rsidP="00726A1A">
      <w:pPr>
        <w:jc w:val="both"/>
        <w:rPr>
          <w:b/>
        </w:rPr>
      </w:pPr>
      <w:r w:rsidRPr="006C7F30">
        <w:rPr>
          <w:b/>
          <w:highlight w:val="green"/>
        </w:rPr>
        <w:t>1. Uniwersalizm</w:t>
      </w:r>
    </w:p>
    <w:p w:rsidR="00726A1A" w:rsidRDefault="00726A1A" w:rsidP="00726A1A">
      <w:pPr>
        <w:jc w:val="both"/>
      </w:pPr>
      <w:r>
        <w:t xml:space="preserve">Europa pod jednym berłem cesarza wyznająca religię chrześcijańską.. Próbował to osiągnąć </w:t>
      </w:r>
      <w:r w:rsidRPr="006C7F30">
        <w:rPr>
          <w:highlight w:val="cyan"/>
        </w:rPr>
        <w:t>Otton III</w:t>
      </w:r>
      <w:r>
        <w:t xml:space="preserve"> za pontyfikatu </w:t>
      </w:r>
      <w:r w:rsidRPr="006C7F30">
        <w:rPr>
          <w:highlight w:val="cyan"/>
        </w:rPr>
        <w:t>Sylwestra II.</w:t>
      </w:r>
      <w:r>
        <w:t xml:space="preserve"> Kulturę łączył język łaciński i wspólny wróg zagrażający chrześcijaństwu. Nie udało się tego zrealizować, bo doszło do konfliktu papieża i cesarza, chrześcijaństwo rozpadło się na dwa obrządki (1054 r.). Na Zachodzie był jednolity wzorzec kulturowy, dominowała rola duchownych i łaciny oraz t</w:t>
      </w:r>
      <w:r w:rsidRPr="00EF559A">
        <w:rPr>
          <w:highlight w:val="green"/>
        </w:rPr>
        <w:t>eocentryzm</w:t>
      </w:r>
      <w:r>
        <w:t xml:space="preserve"> (Pogląd, postawa intelektualna uznająca Boga za najwyższą wartość). </w:t>
      </w:r>
    </w:p>
    <w:p w:rsidR="00726A1A" w:rsidRDefault="00726A1A" w:rsidP="00726A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Szkolnictwo</w:t>
      </w:r>
    </w:p>
    <w:p w:rsidR="00726A1A" w:rsidRDefault="00726A1A" w:rsidP="00726A1A">
      <w:pPr>
        <w:ind w:left="-180" w:firstLine="360"/>
        <w:jc w:val="both"/>
      </w:pPr>
      <w:r>
        <w:t xml:space="preserve">Od czasów Karola Wielkiego siedem sztuk wyzwolonych było podstawą średniowiecznej edukacji. Niższy poziom prezentowały szkoły miejskie, wyższy klasztorne, najwyższy katedralne. Powoli pojawia się </w:t>
      </w:r>
      <w:r w:rsidRPr="004A18B6">
        <w:rPr>
          <w:highlight w:val="green"/>
        </w:rPr>
        <w:t>alfabetyzacja</w:t>
      </w:r>
      <w:r>
        <w:t xml:space="preserve">, nawet osób świeckich. Wymaga tego pragmatyzm, szczególnie widzimy to w mieście. Rosło powoli znaczenie języków narodowych. </w:t>
      </w:r>
    </w:p>
    <w:p w:rsidR="00726A1A" w:rsidRDefault="00726A1A" w:rsidP="00726A1A">
      <w:pPr>
        <w:ind w:left="-180" w:firstLine="360"/>
        <w:jc w:val="both"/>
      </w:pPr>
      <w:r>
        <w:t xml:space="preserve">Duże znaczenie miała szkoła w Chartres, potem pierwszeństwo przejęła szkoła katedralna w Paryżu, która w </w:t>
      </w:r>
      <w:r w:rsidRPr="004A18B6">
        <w:rPr>
          <w:highlight w:val="red"/>
        </w:rPr>
        <w:t>1170 r</w:t>
      </w:r>
      <w:r>
        <w:t xml:space="preserve">. (Sorbona) przekształciła się w </w:t>
      </w:r>
      <w:r w:rsidRPr="004A18B6">
        <w:rPr>
          <w:highlight w:val="green"/>
        </w:rPr>
        <w:t>uniwersytet</w:t>
      </w:r>
      <w:r>
        <w:t xml:space="preserve">, czyli korporację zrzeszającą profesorów i studentów. Uniwersytety były autonomiczne, miały własny samorząd z rektorem na czele. Kolejne uniwersytety powstały w </w:t>
      </w:r>
      <w:r w:rsidRPr="004A18B6">
        <w:rPr>
          <w:highlight w:val="red"/>
        </w:rPr>
        <w:t>1170 r</w:t>
      </w:r>
      <w:r>
        <w:t xml:space="preserve">. w Oksfordzie, w </w:t>
      </w:r>
      <w:r w:rsidRPr="004A18B6">
        <w:rPr>
          <w:highlight w:val="red"/>
        </w:rPr>
        <w:t>1187 r.</w:t>
      </w:r>
      <w:r>
        <w:t xml:space="preserve"> w Bolonii, w </w:t>
      </w:r>
      <w:r w:rsidRPr="004A18B6">
        <w:rPr>
          <w:highlight w:val="red"/>
        </w:rPr>
        <w:t>1209 r.</w:t>
      </w:r>
      <w:r>
        <w:t xml:space="preserve"> w Cambridge, w </w:t>
      </w:r>
      <w:r w:rsidRPr="004A18B6">
        <w:rPr>
          <w:highlight w:val="red"/>
        </w:rPr>
        <w:t>1222 r.</w:t>
      </w:r>
      <w:r>
        <w:t xml:space="preserve"> w Padwie, w </w:t>
      </w:r>
      <w:r w:rsidRPr="004A18B6">
        <w:rPr>
          <w:highlight w:val="red"/>
        </w:rPr>
        <w:t>1364 r.</w:t>
      </w:r>
      <w:r>
        <w:t xml:space="preserve"> w Krakowie. Oprócz siedmiu sztuk wyzwolonych nauczano prawa, medycyny, teologii. tytułami naukowymi były tytuły: bakałarza, magistra, doktora. </w:t>
      </w:r>
    </w:p>
    <w:p w:rsidR="00726A1A" w:rsidRDefault="00726A1A" w:rsidP="00726A1A">
      <w:pPr>
        <w:ind w:left="-180" w:firstLine="360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64135</wp:posOffset>
            </wp:positionV>
            <wp:extent cx="1563370" cy="1866900"/>
            <wp:effectExtent l="0" t="0" r="0" b="0"/>
            <wp:wrapSquare wrapText="bothSides"/>
            <wp:docPr id="11" name="Obraz 11" descr="http://t1.gstatic.com/images?q=tbn:ANd9GcTWdgCX-leF-R6-mR1AytMC2T3Vh0j95zgmwUofmWN0DhRZTp9q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dgCX-leF-R6-mR1AytMC2T3Vh0j95zgmwUofmWN0DhRZTp9qz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64135</wp:posOffset>
            </wp:positionV>
            <wp:extent cx="1504315" cy="2005330"/>
            <wp:effectExtent l="0" t="0" r="635" b="0"/>
            <wp:wrapSquare wrapText="bothSides"/>
            <wp:docPr id="10" name="Obraz 10" descr="Abelard i Helo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elard i Heloiza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Metodą nauczania było </w:t>
      </w:r>
      <w:r w:rsidRPr="00A0098F">
        <w:rPr>
          <w:highlight w:val="green"/>
        </w:rPr>
        <w:t>scholastyka,</w:t>
      </w:r>
      <w:r>
        <w:t xml:space="preserve"> czyli dociekanie prawdy na podstawie prowadzonej, swobodnej dyskusji. Formułowano pytania, zestawiano sprzeczne argumenty i weryfikowano je po poddaniu ocenie opartej na zasadach logiki. Nauczyciele nie zamykali się już w klasztornych bibliotekach, tylko przemieszczali się pomiędzy ośrodkami. Taką osoba był </w:t>
      </w:r>
      <w:r w:rsidRPr="006A76BD">
        <w:rPr>
          <w:highlight w:val="cyan"/>
        </w:rPr>
        <w:t>Piotr Abelard</w:t>
      </w:r>
      <w:r>
        <w:t xml:space="preserve">, </w:t>
      </w:r>
      <w:r>
        <w:lastRenderedPageBreak/>
        <w:t xml:space="preserve">który stawiał trudne teologiczne pytania i odpowiadał na nie w oparciu o zasady logiki. Był nawet  oskarżony o herezję. Wdał się w romans ze swoją studentką </w:t>
      </w:r>
      <w:r w:rsidRPr="006A76BD">
        <w:rPr>
          <w:highlight w:val="cyan"/>
        </w:rPr>
        <w:t>Heloizą.</w:t>
      </w:r>
      <w:r>
        <w:t xml:space="preserve"> Wykastrowany, resztę życia spędził w zakonie. </w:t>
      </w:r>
    </w:p>
    <w:p w:rsidR="00726A1A" w:rsidRDefault="00726A1A" w:rsidP="00726A1A">
      <w:pPr>
        <w:ind w:left="-180"/>
        <w:jc w:val="both"/>
      </w:pPr>
      <w:r>
        <w:t>Na IV soborze laterańskim (</w:t>
      </w:r>
      <w:r w:rsidRPr="004A18B6">
        <w:rPr>
          <w:highlight w:val="red"/>
        </w:rPr>
        <w:t>1215 r.</w:t>
      </w:r>
      <w:r>
        <w:t xml:space="preserve">),  ustalono masowe nauczanie wiernych. Poziom szkół miejskich i parafialnych był niski, ale rosła alfabetyzacja. </w:t>
      </w:r>
    </w:p>
    <w:p w:rsidR="00726A1A" w:rsidRDefault="00726A1A" w:rsidP="00726A1A">
      <w:pPr>
        <w:ind w:left="-180"/>
        <w:jc w:val="both"/>
      </w:pPr>
      <w:r w:rsidRPr="004A18B6">
        <w:rPr>
          <w:highlight w:val="yellow"/>
        </w:rPr>
        <w:t>Polecenie: Przeczytaj tekst na stronie 407. i wymień wymagania stawiane wykładowcom Sorbony.</w:t>
      </w:r>
      <w:r>
        <w:t xml:space="preserve"> Wiek, co najmniej 21 lat, 6 lat nauki, zobowiązania do 2 lat wykładów, nieposzlakowana reputacja. Teologię można wykładać po 35. roku życia, po 8 latach nauki, w tym 5 teologii.  </w:t>
      </w:r>
    </w:p>
    <w:p w:rsidR="00726A1A" w:rsidRDefault="00726A1A" w:rsidP="00726A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Literatura, piśmiennictwo i czytelnictwo.</w:t>
      </w:r>
    </w:p>
    <w:p w:rsidR="00726A1A" w:rsidRDefault="00726A1A" w:rsidP="00726A1A">
      <w:pPr>
        <w:ind w:left="-180" w:firstLine="360"/>
        <w:jc w:val="both"/>
      </w:pPr>
      <w:r>
        <w:t xml:space="preserve">Początkowo książki (manuskrypty) były bardzo drogie. Pisano na pergaminie (specjalnie wyprawiana skóra), książki były bogato ilustrowane miniaturami. Pod koniec średniowiecza zaczęto stosować zamiast pergaminu papier, a od </w:t>
      </w:r>
      <w:r w:rsidRPr="00332F7C">
        <w:rPr>
          <w:highlight w:val="red"/>
        </w:rPr>
        <w:t>1455 r.</w:t>
      </w:r>
      <w:r>
        <w:t xml:space="preserve"> </w:t>
      </w:r>
      <w:r w:rsidRPr="00332F7C">
        <w:rPr>
          <w:highlight w:val="cyan"/>
        </w:rPr>
        <w:t>Jan Gutenberg</w:t>
      </w:r>
      <w:r>
        <w:t xml:space="preserve"> zastosował ruchomą czcionkę. Cena książek spadała. Prawnicy, urzędnicy, kupcy, lekarze przełamywali monopol duchowieństwa w umiejętności pisania. </w:t>
      </w:r>
    </w:p>
    <w:p w:rsidR="00726A1A" w:rsidRDefault="00726A1A" w:rsidP="00726A1A">
      <w:pPr>
        <w:ind w:left="-180" w:firstLine="36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41910</wp:posOffset>
            </wp:positionV>
            <wp:extent cx="1206500" cy="1418590"/>
            <wp:effectExtent l="0" t="0" r="0" b="0"/>
            <wp:wrapSquare wrapText="bothSides"/>
            <wp:docPr id="9" name="Obraz 9" descr="http://www.musiques-medievales.eu/IMG/gif/carmi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ques-medievales.eu/IMG/gif/carmina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Rozwijała się także literatura świecka. Najczęściej propagowali ją wędrowni artyści, zwani </w:t>
      </w:r>
      <w:r w:rsidRPr="006A76BD">
        <w:rPr>
          <w:highlight w:val="green"/>
        </w:rPr>
        <w:t>wagantami.</w:t>
      </w:r>
      <w:r>
        <w:t xml:space="preserve"> Ich dzieła wyśmiewały otaczający świat, rozpowszechniali także eposy rycerskie. Takie poematy zwano </w:t>
      </w:r>
      <w:proofErr w:type="spellStart"/>
      <w:r w:rsidRPr="006A76BD">
        <w:rPr>
          <w:highlight w:val="green"/>
        </w:rPr>
        <w:t>chansons</w:t>
      </w:r>
      <w:proofErr w:type="spellEnd"/>
      <w:r w:rsidRPr="006A76BD">
        <w:rPr>
          <w:highlight w:val="green"/>
        </w:rPr>
        <w:t xml:space="preserve"> de </w:t>
      </w:r>
      <w:proofErr w:type="spellStart"/>
      <w:r w:rsidRPr="006A76BD">
        <w:rPr>
          <w:highlight w:val="green"/>
        </w:rPr>
        <w:t>geste</w:t>
      </w:r>
      <w:proofErr w:type="spellEnd"/>
      <w:r>
        <w:t xml:space="preserve"> (pieśni o czynach) tłumaczono na języki narodowe. W okresie krucjat rozwinęła się liryka miłosna. Upowszechniali ją </w:t>
      </w:r>
      <w:r w:rsidRPr="006A76BD">
        <w:rPr>
          <w:highlight w:val="green"/>
        </w:rPr>
        <w:t>trubadurzy</w:t>
      </w:r>
      <w:r>
        <w:t xml:space="preserve"> (poeci i muzycy).  Popularnym motywem sztuki było </w:t>
      </w:r>
      <w:r w:rsidRPr="00A3243B">
        <w:rPr>
          <w:highlight w:val="green"/>
        </w:rPr>
        <w:t>koło fortuny</w:t>
      </w:r>
      <w:r>
        <w:t xml:space="preserve"> (str.413.).</w:t>
      </w:r>
    </w:p>
    <w:p w:rsidR="00726A1A" w:rsidRPr="004A18B6" w:rsidRDefault="00726A1A" w:rsidP="00726A1A">
      <w:pPr>
        <w:ind w:left="-180"/>
        <w:jc w:val="both"/>
      </w:pPr>
      <w:r w:rsidRPr="006A76BD">
        <w:rPr>
          <w:highlight w:val="yellow"/>
        </w:rPr>
        <w:t>Polecenie: na podstawie tekstu na stronie 412. wyjaśnij znaczenia łaciny i języków narodowych w</w:t>
      </w:r>
      <w:r>
        <w:rPr>
          <w:highlight w:val="yellow"/>
        </w:rPr>
        <w:t> </w:t>
      </w:r>
      <w:r w:rsidRPr="006A76BD">
        <w:rPr>
          <w:highlight w:val="yellow"/>
        </w:rPr>
        <w:t>średniowieczu.</w:t>
      </w:r>
      <w:r>
        <w:t xml:space="preserve"> IV-V w. św. Hieronim przełożył Pismo św. z greki i hebrajskiego na łacinę (wulgata). Łacina stał się ponadnarodowym językiem średniowiecza. Łaciną klasyczna posługiwali się nieliczni, np. arcybiskup Sewilli Izydor, który spisał całą wiedzę i stworzył swoista encyklopedię (uważa się go za patrona Internetu). Dużą rangę nadał j. łacińskiemu Karol Wielki, stworzono </w:t>
      </w:r>
      <w:r w:rsidRPr="00FE1F22">
        <w:rPr>
          <w:highlight w:val="green"/>
        </w:rPr>
        <w:t>minuskułę karolińską</w:t>
      </w:r>
      <w:r>
        <w:t xml:space="preserve">, wykorzystywana przy tworzeniu manuskryptów. Koniec wypraw krzyżowych, upadek idei uniwersalizmu doprowadził do wzrostu znaczenia języków narodowych. Pod koniec XIII spisywano historię na dworach francuskim i niemieckim w językach narodowych, w Skandynawii używano j. nordyckiego (alfabet runiczny). Rosło znaczenie języków narodowych w miastach. Sprowadzono do Europy także cyfry arabskie, dodano 0. </w:t>
      </w:r>
    </w:p>
    <w:p w:rsidR="00726A1A" w:rsidRPr="00A3243B" w:rsidRDefault="00726A1A" w:rsidP="00726A1A">
      <w:pPr>
        <w:jc w:val="both"/>
        <w:rPr>
          <w:b/>
        </w:rPr>
      </w:pPr>
      <w:r>
        <w:rPr>
          <w:b/>
        </w:rPr>
        <w:t xml:space="preserve">4. Filozofia średniowiecza. </w:t>
      </w:r>
    </w:p>
    <w:p w:rsidR="00726A1A" w:rsidRDefault="00726A1A" w:rsidP="00726A1A">
      <w:pPr>
        <w:jc w:val="both"/>
      </w:pPr>
      <w:r>
        <w:tab/>
        <w:t xml:space="preserve">Wczesne średniowiecze zdominowała myśl </w:t>
      </w:r>
      <w:r w:rsidRPr="00B51BB1">
        <w:rPr>
          <w:highlight w:val="cyan"/>
        </w:rPr>
        <w:t>św. Augustyna</w:t>
      </w:r>
      <w:r>
        <w:t xml:space="preserve"> (żył w </w:t>
      </w:r>
      <w:r w:rsidRPr="00B51BB1">
        <w:rPr>
          <w:highlight w:val="red"/>
        </w:rPr>
        <w:t>IV w</w:t>
      </w:r>
      <w:r>
        <w:t xml:space="preserve">.), który uważał, że Bóg stworzył świat materialny, którego człowiek nie może poznać bezpośrednio za pomocą rozumu. </w:t>
      </w:r>
    </w:p>
    <w:p w:rsidR="00726A1A" w:rsidRDefault="00726A1A" w:rsidP="00726A1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10795</wp:posOffset>
            </wp:positionV>
            <wp:extent cx="1139825" cy="1714500"/>
            <wp:effectExtent l="0" t="0" r="3175" b="0"/>
            <wp:wrapSquare wrapText="bothSides"/>
            <wp:docPr id="8" name="Obraz 8" descr="http://upload.wikimedia.org/wikipedia/commons/thumb/e/e3/St-thomas-aquinas.jpg/250px-St-thomas-aqu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e/e3/St-thomas-aquinas.jpg/250px-St-thomas-aquinas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Najpełniejszą syntezę wiedzy średniowiecznej sformułował żyjący w </w:t>
      </w:r>
      <w:r w:rsidRPr="00B51BB1">
        <w:rPr>
          <w:highlight w:val="red"/>
        </w:rPr>
        <w:t>XIII w</w:t>
      </w:r>
      <w:r>
        <w:t xml:space="preserve">. </w:t>
      </w:r>
      <w:r w:rsidRPr="00B51BB1">
        <w:rPr>
          <w:highlight w:val="cyan"/>
        </w:rPr>
        <w:t>Tomasz z Akwinu</w:t>
      </w:r>
      <w:r>
        <w:t>. Był dominikaninem, przebywał w klasztorze na Monte Cassino, studiował w Paryżu i w Rzymie. Uważał, że rozum ma mniejszą wartość od prawd objawionych, więc filozofia była tylko wstępem do teologii. Opierał się na metodzie empirycznej i na logice Arystotelesa. Teologia jest niepoznawalna zmysłami, lecz podporządkowana logice. Uważał, że prawdy objawione i rozumowe są takie same, bo pochodzą od Boga. Uznawał wyższość rozumu nad uczuciem.</w:t>
      </w:r>
      <w:r w:rsidRPr="002F767F">
        <w:t xml:space="preserve"> </w:t>
      </w:r>
      <w:r>
        <w:t xml:space="preserve">Według św. Tomasza nie jest bezpośrednio znany </w:t>
      </w:r>
      <w:r w:rsidRPr="002F767F">
        <w:t>umysłowi</w:t>
      </w:r>
      <w:r>
        <w:t xml:space="preserve"> ludzkiemu ani </w:t>
      </w:r>
      <w:r w:rsidRPr="002F767F">
        <w:t>Bóg</w:t>
      </w:r>
      <w:r>
        <w:t xml:space="preserve">, ani </w:t>
      </w:r>
      <w:r w:rsidRPr="002F767F">
        <w:t>dusza</w:t>
      </w:r>
      <w:r>
        <w:t xml:space="preserve">, ani żadne prawdy ogólne. Człowiek rodzi się bez wiedzy i zdobywa ją dopiero w czasie życia. Obrońcami </w:t>
      </w:r>
      <w:r w:rsidRPr="000A13DE">
        <w:rPr>
          <w:highlight w:val="green"/>
        </w:rPr>
        <w:t>tomizmu</w:t>
      </w:r>
      <w:r>
        <w:t xml:space="preserve"> (systemu filozoficzno-teologicznego) byli dominikanie. </w:t>
      </w:r>
    </w:p>
    <w:p w:rsidR="00726A1A" w:rsidRDefault="00726A1A" w:rsidP="00726A1A">
      <w:pPr>
        <w:jc w:val="both"/>
      </w:pPr>
      <w:r>
        <w:t xml:space="preserve">Franciszkanie i profesor </w:t>
      </w:r>
      <w:r w:rsidRPr="000A13DE">
        <w:rPr>
          <w:highlight w:val="cyan"/>
        </w:rPr>
        <w:t>Wilhelm Ockham</w:t>
      </w:r>
      <w:r>
        <w:t xml:space="preserve"> (</w:t>
      </w:r>
      <w:r w:rsidRPr="000A13DE">
        <w:rPr>
          <w:highlight w:val="red"/>
        </w:rPr>
        <w:t>XIV w</w:t>
      </w:r>
      <w:r>
        <w:t xml:space="preserve">.) przeciwstawiali poznanie zmysłowe rozumowemu. W swej metodzie naukowej </w:t>
      </w:r>
      <w:r w:rsidRPr="000A13DE">
        <w:rPr>
          <w:highlight w:val="green"/>
        </w:rPr>
        <w:t>nominalizmie,</w:t>
      </w:r>
      <w:r>
        <w:t xml:space="preserve"> twierdził, że nauka może zajmować się tylko rzeczami indywidualnymi, a nie ideami. Rozum ludzki nie pojmuje prawd wiary, nie </w:t>
      </w:r>
      <w:r>
        <w:lastRenderedPageBreak/>
        <w:t xml:space="preserve">można udowodnić istnienia Boga. Oddzielał filozofię od teologii. Bóg nie może być ograniczony przez logikę, bo jest wszechmocny. </w:t>
      </w:r>
    </w:p>
    <w:p w:rsidR="00726A1A" w:rsidRDefault="00726A1A" w:rsidP="00726A1A">
      <w:pPr>
        <w:numPr>
          <w:ilvl w:val="0"/>
          <w:numId w:val="1"/>
        </w:numPr>
        <w:jc w:val="both"/>
      </w:pPr>
      <w:r>
        <w:rPr>
          <w:b/>
        </w:rPr>
        <w:t xml:space="preserve">Styl gotycki w architekturze </w:t>
      </w:r>
      <w:r w:rsidRPr="002F767F">
        <w:t>(strona 409.)</w:t>
      </w:r>
    </w:p>
    <w:p w:rsidR="00726A1A" w:rsidRDefault="00726A1A" w:rsidP="00726A1A">
      <w:pPr>
        <w:ind w:left="-180"/>
        <w:jc w:val="both"/>
      </w:pPr>
      <w:r w:rsidRPr="002F767F">
        <w:rPr>
          <w:highlight w:val="yellow"/>
        </w:rPr>
        <w:t>Polecenie: Na podstawie ikonografii dotyczącej architektury średniowiecznej podaj cechy stylu gotyckiego.</w:t>
      </w:r>
    </w:p>
    <w:p w:rsidR="00726A1A" w:rsidRDefault="00726A1A" w:rsidP="00726A1A">
      <w:pPr>
        <w:ind w:left="-180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178435</wp:posOffset>
            </wp:positionV>
            <wp:extent cx="1914525" cy="1430655"/>
            <wp:effectExtent l="0" t="0" r="9525" b="0"/>
            <wp:wrapSquare wrapText="bothSides"/>
            <wp:docPr id="7" name="Obraz 7" descr="http://static.lovetotravel.pl/galery/th/th1_5506_notre_da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lovetotravel.pl/galery/th/th1_5506_notre_dame2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117475</wp:posOffset>
            </wp:positionV>
            <wp:extent cx="1533525" cy="1533525"/>
            <wp:effectExtent l="0" t="0" r="9525" b="9525"/>
            <wp:wrapSquare wrapText="bothSides"/>
            <wp:docPr id="6" name="Obraz 6" descr="http://upload.wikimedia.org/wikipedia/commons/thumb/7/77/Rozeta_Pary%C5%BC_notre-dame_chalger.jpg/220px-Rozeta_Pary%C5%BC_notre-dame_chal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7/77/Rozeta_Pary%C5%BC_notre-dame_chalger.jpg/220px-Rozeta_Pary%C5%BC_notre-dame_chalger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ind w:left="-180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117475</wp:posOffset>
            </wp:positionV>
            <wp:extent cx="2314575" cy="1276350"/>
            <wp:effectExtent l="0" t="0" r="9525" b="0"/>
            <wp:wrapSquare wrapText="bothSides"/>
            <wp:docPr id="5" name="Obraz 5" descr="http://magazynatrakcje.pl/wp-content/uploads/2012/11/katedra-Notre-Dame-3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azynatrakcje.pl/wp-content/uploads/2012/11/katedra-Notre-Dame-300x165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1A" w:rsidRDefault="00726A1A" w:rsidP="00726A1A">
      <w:pPr>
        <w:ind w:left="-180"/>
        <w:jc w:val="both"/>
      </w:pPr>
    </w:p>
    <w:p w:rsidR="00726A1A" w:rsidRPr="002F767F" w:rsidRDefault="00726A1A" w:rsidP="00726A1A">
      <w:pPr>
        <w:ind w:left="-180"/>
        <w:jc w:val="both"/>
      </w:pPr>
      <w:r>
        <w:t xml:space="preserve"> </w:t>
      </w:r>
    </w:p>
    <w:p w:rsidR="00726A1A" w:rsidRDefault="00726A1A" w:rsidP="00726A1A">
      <w:pPr>
        <w:jc w:val="both"/>
      </w:pPr>
    </w:p>
    <w:p w:rsidR="00726A1A" w:rsidRDefault="00726A1A" w:rsidP="00726A1A">
      <w:pPr>
        <w:pStyle w:val="NormalnyWeb"/>
        <w:spacing w:before="0" w:beforeAutospacing="0" w:after="0" w:afterAutospacing="0"/>
        <w:ind w:left="1920"/>
        <w:rPr>
          <w:bCs/>
        </w:rPr>
      </w:pPr>
    </w:p>
    <w:p w:rsidR="00726A1A" w:rsidRDefault="00726A1A" w:rsidP="00726A1A">
      <w:pPr>
        <w:pStyle w:val="NormalnyWeb"/>
        <w:spacing w:before="0" w:beforeAutospacing="0" w:after="0" w:afterAutospacing="0"/>
        <w:ind w:left="1920"/>
        <w:rPr>
          <w:bCs/>
        </w:rPr>
      </w:pPr>
    </w:p>
    <w:p w:rsidR="00726A1A" w:rsidRDefault="00726A1A" w:rsidP="00726A1A">
      <w:pPr>
        <w:pStyle w:val="NormalnyWeb"/>
        <w:spacing w:before="0" w:beforeAutospacing="0" w:after="0" w:afterAutospacing="0"/>
        <w:ind w:left="1920"/>
        <w:rPr>
          <w:bCs/>
        </w:rPr>
      </w:pPr>
    </w:p>
    <w:p w:rsidR="00726A1A" w:rsidRDefault="00726A1A" w:rsidP="00726A1A">
      <w:pPr>
        <w:pStyle w:val="NormalnyWeb"/>
        <w:spacing w:before="0" w:beforeAutospacing="0" w:after="0" w:afterAutospacing="0"/>
        <w:ind w:left="1920"/>
        <w:rPr>
          <w:bCs/>
        </w:rPr>
      </w:pPr>
    </w:p>
    <w:p w:rsidR="00726A1A" w:rsidRDefault="00726A1A" w:rsidP="00726A1A">
      <w:pPr>
        <w:pStyle w:val="NormalnyWeb"/>
        <w:spacing w:before="0" w:beforeAutospacing="0" w:after="0" w:afterAutospacing="0"/>
        <w:ind w:left="1920"/>
        <w:rPr>
          <w:bCs/>
        </w:rPr>
      </w:pPr>
    </w:p>
    <w:p w:rsidR="00726A1A" w:rsidRPr="002F767F" w:rsidRDefault="00726A1A" w:rsidP="00726A1A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26670</wp:posOffset>
            </wp:positionV>
            <wp:extent cx="2095500" cy="1428750"/>
            <wp:effectExtent l="0" t="0" r="0" b="0"/>
            <wp:wrapSquare wrapText="bothSides"/>
            <wp:docPr id="4" name="Obraz 4" descr="http://upload.wikimedia.org/wikipedia/commons/thumb/c/c3/Figuren_auf_Notre_Dame.JPG/220px-Figuren_auf_Notre_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c/c3/Figuren_auf_Notre_Dame.JPG/220px-Figuren_auf_Notre_Dame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7F">
        <w:rPr>
          <w:bCs/>
        </w:rPr>
        <w:t>Cechy stylu gotyckiego</w:t>
      </w:r>
      <w:r>
        <w:rPr>
          <w:bCs/>
        </w:rPr>
        <w:t>:</w:t>
      </w:r>
    </w:p>
    <w:p w:rsidR="00726A1A" w:rsidRPr="002F767F" w:rsidRDefault="00726A1A" w:rsidP="00726A1A">
      <w:pPr>
        <w:pStyle w:val="NormalnyWeb"/>
        <w:numPr>
          <w:ilvl w:val="0"/>
          <w:numId w:val="4"/>
        </w:numPr>
        <w:tabs>
          <w:tab w:val="left" w:pos="1980"/>
        </w:tabs>
        <w:spacing w:before="0" w:beforeAutospacing="0" w:after="0" w:afterAutospacing="0"/>
        <w:ind w:right="960"/>
      </w:pPr>
      <w:r w:rsidRPr="002F767F">
        <w:t>smukłość, strzelistość budowli</w:t>
      </w:r>
    </w:p>
    <w:p w:rsidR="00726A1A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 w:rsidRPr="002F767F">
        <w:t>sklepienie krzyżowo-żebrowe</w:t>
      </w:r>
    </w:p>
    <w:p w:rsidR="00726A1A" w:rsidRPr="002F767F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>
        <w:t>przypory i filary podpierające konstrukcję</w:t>
      </w:r>
    </w:p>
    <w:p w:rsidR="00726A1A" w:rsidRPr="002F767F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 w:rsidRPr="002F767F">
        <w:t>witraże w oknach</w:t>
      </w:r>
      <w:r>
        <w:t>, rozeta, oświetlone wnętrze</w:t>
      </w:r>
    </w:p>
    <w:p w:rsidR="00726A1A" w:rsidRPr="002F767F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>
        <w:t>detale architektoniczne</w:t>
      </w:r>
    </w:p>
    <w:p w:rsidR="00726A1A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 w:rsidRPr="002F767F">
        <w:t>trzy portale</w:t>
      </w:r>
    </w:p>
    <w:p w:rsidR="00726A1A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>
        <w:t>łuk ostry</w:t>
      </w:r>
    </w:p>
    <w:p w:rsidR="00726A1A" w:rsidRDefault="00726A1A" w:rsidP="00726A1A">
      <w:pPr>
        <w:pStyle w:val="NormalnyWeb"/>
        <w:numPr>
          <w:ilvl w:val="0"/>
          <w:numId w:val="4"/>
        </w:numPr>
        <w:spacing w:before="0" w:beforeAutospacing="0" w:after="0" w:afterAutospacing="0"/>
        <w:ind w:right="960"/>
      </w:pPr>
      <w:r>
        <w:t>budowano z cegły (Europa zachodnia, nadal z kamienia)</w:t>
      </w:r>
      <w:r>
        <w:tab/>
      </w:r>
      <w:r>
        <w:tab/>
        <w:t>maszkarony</w:t>
      </w:r>
      <w:r>
        <w:tab/>
      </w:r>
      <w:r>
        <w:tab/>
      </w:r>
      <w:r>
        <w:tab/>
      </w:r>
      <w:r>
        <w:tab/>
      </w:r>
    </w:p>
    <w:p w:rsidR="00726A1A" w:rsidRDefault="00726A1A" w:rsidP="00726A1A">
      <w:pPr>
        <w:numPr>
          <w:ilvl w:val="0"/>
          <w:numId w:val="1"/>
        </w:num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129540</wp:posOffset>
            </wp:positionV>
            <wp:extent cx="1266825" cy="2133600"/>
            <wp:effectExtent l="0" t="0" r="9525" b="0"/>
            <wp:wrapSquare wrapText="bothSides"/>
            <wp:docPr id="3" name="Obraz 3" descr="http://t1.gstatic.com/images?q=tbn:ANd9GcTZ2noPcrqgjYDfctz0nYWTVmLB6oRYt1d9CaaK3KhCracQ7Z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2noPcrqgjYDfctz0nYWTVmLB6oRYt1d9CaaK3KhCracQ7ZxC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Sztuka pełnego średniowiecza (strona 410.)</w:t>
      </w:r>
    </w:p>
    <w:p w:rsidR="00726A1A" w:rsidRDefault="00726A1A" w:rsidP="00726A1A">
      <w:pPr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1325880</wp:posOffset>
            </wp:positionV>
            <wp:extent cx="1062990" cy="1190625"/>
            <wp:effectExtent l="0" t="0" r="3810" b="9525"/>
            <wp:wrapSquare wrapText="bothSides"/>
            <wp:docPr id="2" name="Obraz 2" descr="http://djyimg.com/i6/60716005603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jyimg.com/i6/607160056031454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68580</wp:posOffset>
            </wp:positionV>
            <wp:extent cx="1600200" cy="1176655"/>
            <wp:effectExtent l="0" t="0" r="0" b="4445"/>
            <wp:wrapSquare wrapText="bothSides"/>
            <wp:docPr id="1" name="Obraz 1" descr="http://memorizer.pl.s3.amazonaws.com/testpic/5311/1302948961p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morizer.pl.s3.amazonaws.com/testpic/5311/1302948961pieta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Około 1400 wykształcił się typ tzw. </w:t>
      </w:r>
      <w:r w:rsidRPr="00F6769E">
        <w:rPr>
          <w:highlight w:val="green"/>
        </w:rPr>
        <w:t>Pięknej Madonny</w:t>
      </w:r>
      <w:r>
        <w:t xml:space="preserve"> jako ideału urody kobiecej – postaci o pięknym, młodym, uśmiechniętym, pogodnym obliczu, w misternie udrapowanych szatach, często we wdzięcznych “zatrzymanych w ruchu” pozach, z Jezusem – dzieckiem na ręce (np. z kościoła Św. Elżbiety we Wrocławiu</w:t>
      </w:r>
      <w:r>
        <w:br/>
        <w:t xml:space="preserve">W XIV w. rozpowszechnił się zarówno w malarstwie, jak i rzeźbie typ przedstawiania Madonny związany z Męką Pańską, </w:t>
      </w:r>
      <w:r w:rsidRPr="00F6769E">
        <w:rPr>
          <w:highlight w:val="green"/>
        </w:rPr>
        <w:t>Pieta</w:t>
      </w:r>
      <w:r>
        <w:t xml:space="preserve">, Matka Boża Bolesna – </w:t>
      </w:r>
      <w:proofErr w:type="spellStart"/>
      <w:r>
        <w:t>Mater</w:t>
      </w:r>
      <w:proofErr w:type="spellEnd"/>
      <w:r>
        <w:t xml:space="preserve"> </w:t>
      </w:r>
      <w:proofErr w:type="spellStart"/>
      <w:r>
        <w:t>Dolorosa</w:t>
      </w:r>
      <w:proofErr w:type="spellEnd"/>
      <w:r>
        <w:t xml:space="preserve"> (np. </w:t>
      </w:r>
      <w:r>
        <w:rPr>
          <w:rStyle w:val="Uwydatnienie"/>
        </w:rPr>
        <w:t>Pieta</w:t>
      </w:r>
      <w:r>
        <w:t xml:space="preserve"> z Awinionu, około 1454–1456 obecnie w </w:t>
      </w:r>
      <w:r w:rsidRPr="001626B6">
        <w:t>Luwrze</w:t>
      </w:r>
      <w:r>
        <w:t xml:space="preserve">). </w:t>
      </w:r>
    </w:p>
    <w:p w:rsidR="00726A1A" w:rsidRDefault="00726A1A" w:rsidP="00726A1A">
      <w:pPr>
        <w:jc w:val="both"/>
      </w:pPr>
      <w:r>
        <w:t>Michał Anioł – Bazylika św. Piotra w Rzymie.</w:t>
      </w: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726A1A" w:rsidRDefault="00726A1A" w:rsidP="00726A1A">
      <w:pPr>
        <w:jc w:val="both"/>
      </w:pPr>
    </w:p>
    <w:p w:rsidR="00105E71" w:rsidRDefault="00105E71"/>
    <w:sectPr w:rsidR="0010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108"/>
    <w:multiLevelType w:val="hybridMultilevel"/>
    <w:tmpl w:val="FDEAC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822D1"/>
    <w:multiLevelType w:val="hybridMultilevel"/>
    <w:tmpl w:val="94DC2648"/>
    <w:lvl w:ilvl="0" w:tplc="5B6C94E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D5CC2E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4766EF9"/>
    <w:multiLevelType w:val="hybridMultilevel"/>
    <w:tmpl w:val="C3D68BC8"/>
    <w:lvl w:ilvl="0" w:tplc="6B308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4A67123"/>
    <w:multiLevelType w:val="multilevel"/>
    <w:tmpl w:val="1D9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0"/>
    <w:rsid w:val="00105E71"/>
    <w:rsid w:val="00726A1A"/>
    <w:rsid w:val="007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6A1A"/>
    <w:pPr>
      <w:spacing w:before="100" w:beforeAutospacing="1" w:after="100" w:afterAutospacing="1"/>
    </w:pPr>
  </w:style>
  <w:style w:type="character" w:styleId="Uwydatnienie">
    <w:name w:val="Emphasis"/>
    <w:qFormat/>
    <w:rsid w:val="00726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6A1A"/>
    <w:pPr>
      <w:spacing w:before="100" w:beforeAutospacing="1" w:after="100" w:afterAutospacing="1"/>
    </w:pPr>
  </w:style>
  <w:style w:type="character" w:styleId="Uwydatnienie">
    <w:name w:val="Emphasis"/>
    <w:qFormat/>
    <w:rsid w:val="00726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http://zasoby.open.agh.edu.pl/%7E08tszymanski/images/pictures/kr_b.jpg" TargetMode="External"/><Relationship Id="rId26" Type="http://schemas.openxmlformats.org/officeDocument/2006/relationships/image" Target="media/image12.jpeg"/><Relationship Id="rId39" Type="http://schemas.openxmlformats.org/officeDocument/2006/relationships/image" Target="http://upload.wikimedia.org/wikipedia/commons/thumb/c/c3/Figuren_auf_Notre_Dame.JPG/220px-Figuren_auf_Notre_Dame.JPG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thumb/a/a8/Cieszyn_rotunda_sw_Mikolaja.jpg/161px-Cieszyn_rotunda_sw_Mikolaja.jpg" TargetMode="External"/><Relationship Id="rId29" Type="http://schemas.openxmlformats.org/officeDocument/2006/relationships/image" Target="http://www.musiques-medievales.eu/IMG/gif/carmina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magazynatrakcje.pl/wp-content/uploads/2012/11/katedra-Notre-Dame-300x165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memorizer.pl.s3.amazonaws.com/testpic/5311/1302948961piet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://upload.wikimedia.org/wikipedia/commons/thumb/9/9a/Portal_moissac.jpg/120px-Portal_moissac.jp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jpeg"/><Relationship Id="rId10" Type="http://schemas.openxmlformats.org/officeDocument/2006/relationships/image" Target="http://upload.wikimedia.org/wikipedia/commons/thumb/f/f3/St._Mary_Church_in_Inowroc%C5%82aw_-_masks.JPG/402px-St._Mary_Church_in_Inowroc%C5%82aw_-_masks.JPG" TargetMode="External"/><Relationship Id="rId19" Type="http://schemas.openxmlformats.org/officeDocument/2006/relationships/image" Target="media/image8.jpeg"/><Relationship Id="rId31" Type="http://schemas.openxmlformats.org/officeDocument/2006/relationships/image" Target="http://upload.wikimedia.org/wikipedia/commons/thumb/e/e3/St-thomas-aquinas.jpg/250px-St-thomas-aquinas.jpg" TargetMode="External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upload.wikimedia.org/wikipedia/commons/thumb/f/fa/Golden_Madonna.jpg/200px-Golden_Madonna.jpg" TargetMode="External"/><Relationship Id="rId22" Type="http://schemas.openxmlformats.org/officeDocument/2006/relationships/image" Target="media/image10.jpeg"/><Relationship Id="rId27" Type="http://schemas.openxmlformats.org/officeDocument/2006/relationships/image" Target="http://upload.wikimedia.org/wikipedia/commons/thumb/8/82/Abelard_and_Heloise.jpeg/180px-Abelard_and_Heloise.jpe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upload.wikimedia.org/wikipedia/commons/thumb/7/77/Rozeta_Pary%C5%BC_notre-dame_chalger.jpg/220px-Rozeta_Pary%C5%BC_notre-dame_chalger.jpg" TargetMode="External"/><Relationship Id="rId43" Type="http://schemas.openxmlformats.org/officeDocument/2006/relationships/image" Target="http://djyimg.com/i6/607160056031454.jpg" TargetMode="External"/><Relationship Id="rId8" Type="http://schemas.openxmlformats.org/officeDocument/2006/relationships/image" Target="http://t3.gstatic.com/images?q=tbn:ANd9GcQlPFKWESSDXpJze1AN5Ia0iMWWsIEkjqhhnZm4UIDI23DpQOo28w" TargetMode="External"/><Relationship Id="rId3" Type="http://schemas.microsoft.com/office/2007/relationships/stylesWithEffects" Target="stylesWithEffects.xml"/><Relationship Id="rId12" Type="http://schemas.openxmlformats.org/officeDocument/2006/relationships/image" Target="http://upload.wikimedia.org/wikipedia/commons/thumb/6/6b/POL_Gniezno_COA.svg/200px-POL_Gniezno_COA.svg.png" TargetMode="External"/><Relationship Id="rId17" Type="http://schemas.openxmlformats.org/officeDocument/2006/relationships/image" Target="media/image7.jpeg"/><Relationship Id="rId25" Type="http://schemas.openxmlformats.org/officeDocument/2006/relationships/image" Target="http://t1.gstatic.com/images?q=tbn:ANd9GcTWdgCX-leF-R6-mR1AytMC2T3Vh0j95zgmwUofmWN0DhRZTp9qzg" TargetMode="External"/><Relationship Id="rId33" Type="http://schemas.openxmlformats.org/officeDocument/2006/relationships/image" Target="http://static.lovetotravel.pl/galery/th/th1_5506_notre_dame2.jpg" TargetMode="External"/><Relationship Id="rId38" Type="http://schemas.openxmlformats.org/officeDocument/2006/relationships/image" Target="media/image18.jpeg"/><Relationship Id="rId46" Type="http://schemas.openxmlformats.org/officeDocument/2006/relationships/fontTable" Target="fontTable.xml"/><Relationship Id="rId20" Type="http://schemas.openxmlformats.org/officeDocument/2006/relationships/image" Target="http://t3.gstatic.com/images?q=tbn:ANd9GcQ9an6BwPTj_uCRqcW81GEbJvPszTXrfb1M7r6dhGCsrCOumg2UNA" TargetMode="External"/><Relationship Id="rId41" Type="http://schemas.openxmlformats.org/officeDocument/2006/relationships/image" Target="http://t1.gstatic.com/images?q=tbn:ANd9GcTZ2noPcrqgjYDfctz0nYWTVmLB6oRYt1d9CaaK3KhCracQ7Z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2022-05-13T16:00:00Z</dcterms:created>
  <dcterms:modified xsi:type="dcterms:W3CDTF">2022-05-13T16:02:00Z</dcterms:modified>
</cp:coreProperties>
</file>